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0E64A8F1" w:rsidR="00A160B2" w:rsidRDefault="0F2FE67E" w:rsidP="71A0D5AC">
      <w:pPr>
        <w:spacing w:after="480"/>
      </w:pPr>
      <w:r>
        <w:rPr>
          <w:noProof/>
        </w:rPr>
        <w:drawing>
          <wp:inline distT="0" distB="0" distL="0" distR="0" wp14:anchorId="192D5657" wp14:editId="4FA53789">
            <wp:extent cx="2584174" cy="747542"/>
            <wp:effectExtent l="0" t="0" r="6985" b="0"/>
            <wp:docPr id="183194584" name="Picture 18319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40" cy="7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3"/>
        <w:gridCol w:w="4926"/>
      </w:tblGrid>
      <w:tr w:rsidR="00A160B2" w14:paraId="3E9231EB" w14:textId="77777777" w:rsidTr="00AD7EE2">
        <w:trPr>
          <w:tblHeader/>
        </w:trPr>
        <w:tc>
          <w:tcPr>
            <w:tcW w:w="3383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</w:pPr>
            <w:r>
              <w:t>Report f</w:t>
            </w:r>
            <w:r w:rsidRPr="00C869F3">
              <w:t>or:</w:t>
            </w:r>
          </w:p>
        </w:tc>
        <w:tc>
          <w:tcPr>
            <w:tcW w:w="4926" w:type="dxa"/>
            <w:tcBorders>
              <w:bottom w:val="single" w:sz="18" w:space="0" w:color="auto"/>
            </w:tcBorders>
          </w:tcPr>
          <w:p w14:paraId="4A91C7BE" w14:textId="58376390" w:rsidR="00A160B2" w:rsidRDefault="008722E0" w:rsidP="006C3150">
            <w:pPr>
              <w:pStyle w:val="Heading1"/>
            </w:pPr>
            <w:r>
              <w:t>Chief Officers’</w:t>
            </w:r>
            <w:r w:rsidR="00502F3E">
              <w:t xml:space="preserve"> </w:t>
            </w:r>
            <w:r>
              <w:t>Employment Panel</w:t>
            </w:r>
          </w:p>
          <w:p w14:paraId="55A88F66" w14:textId="64B24DEE" w:rsidR="00A160B2" w:rsidRPr="00A160B2" w:rsidRDefault="00A160B2" w:rsidP="006C3150">
            <w:pPr>
              <w:pStyle w:val="Heading1"/>
              <w:rPr>
                <w:color w:val="0000FF"/>
                <w:szCs w:val="24"/>
              </w:rPr>
            </w:pPr>
          </w:p>
        </w:tc>
      </w:tr>
      <w:tr w:rsidR="00A160B2" w14:paraId="5281F5A9" w14:textId="77777777" w:rsidTr="00AD7EE2">
        <w:tc>
          <w:tcPr>
            <w:tcW w:w="3383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6" w:type="dxa"/>
            <w:tcBorders>
              <w:top w:val="single" w:sz="18" w:space="0" w:color="auto"/>
            </w:tcBorders>
          </w:tcPr>
          <w:p w14:paraId="495EBCE8" w14:textId="7B81A0DD" w:rsidR="00A160B2" w:rsidRDefault="00E34C5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441A9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March 2024</w:t>
            </w:r>
          </w:p>
        </w:tc>
      </w:tr>
      <w:tr w:rsidR="00A160B2" w14:paraId="79B879D4" w14:textId="77777777" w:rsidTr="00AD7EE2">
        <w:tc>
          <w:tcPr>
            <w:tcW w:w="3383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6" w:type="dxa"/>
          </w:tcPr>
          <w:p w14:paraId="26BD0C9C" w14:textId="6FFFA061" w:rsidR="00A160B2" w:rsidRDefault="6EA8D88D" w:rsidP="00AD7EE2">
            <w:pPr>
              <w:pStyle w:val="Infotext"/>
              <w:rPr>
                <w:rFonts w:cs="Arial"/>
              </w:rPr>
            </w:pPr>
            <w:r w:rsidRPr="71A0D5AC">
              <w:rPr>
                <w:rFonts w:cs="Arial"/>
              </w:rPr>
              <w:t xml:space="preserve">Recruitment </w:t>
            </w:r>
            <w:r w:rsidR="567A8658" w:rsidRPr="71A0D5AC">
              <w:rPr>
                <w:rFonts w:cs="Arial"/>
              </w:rPr>
              <w:t>of</w:t>
            </w:r>
            <w:r w:rsidRPr="71A0D5AC">
              <w:rPr>
                <w:rFonts w:cs="Arial"/>
              </w:rPr>
              <w:t xml:space="preserve"> </w:t>
            </w:r>
            <w:r w:rsidR="000008F0" w:rsidRPr="71A0D5AC">
              <w:rPr>
                <w:rFonts w:cs="Arial"/>
              </w:rPr>
              <w:t>the</w:t>
            </w:r>
            <w:r w:rsidR="00441A9C">
              <w:rPr>
                <w:rFonts w:cs="Arial"/>
              </w:rPr>
              <w:t xml:space="preserve"> Director of </w:t>
            </w:r>
            <w:r w:rsidR="00E34C52">
              <w:rPr>
                <w:rFonts w:cs="Arial"/>
              </w:rPr>
              <w:t>Finance &amp; Assurance (S151 Officer)</w:t>
            </w:r>
          </w:p>
          <w:p w14:paraId="5914456E" w14:textId="61D4408B" w:rsidR="008722E0" w:rsidRDefault="008722E0" w:rsidP="00AD7EE2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AD7EE2">
        <w:tc>
          <w:tcPr>
            <w:tcW w:w="3383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6" w:type="dxa"/>
          </w:tcPr>
          <w:p w14:paraId="3CF266C9" w14:textId="4C8EB5FA" w:rsidR="00A160B2" w:rsidRDefault="00441A9C" w:rsidP="00AD7EE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Alex Dewsnap – Managing Director (Head of Paid Service) </w:t>
            </w:r>
          </w:p>
        </w:tc>
      </w:tr>
      <w:tr w:rsidR="00A160B2" w14:paraId="7AFCAE74" w14:textId="77777777" w:rsidTr="00AD7EE2">
        <w:tc>
          <w:tcPr>
            <w:tcW w:w="3383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6" w:type="dxa"/>
          </w:tcPr>
          <w:p w14:paraId="4C873B59" w14:textId="58257FD9" w:rsidR="00A160B2" w:rsidRDefault="005A6062" w:rsidP="00AD7EE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A160B2" w14:paraId="521D9222" w14:textId="77777777" w:rsidTr="00AD7EE2">
        <w:tc>
          <w:tcPr>
            <w:tcW w:w="3383" w:type="dxa"/>
          </w:tcPr>
          <w:p w14:paraId="65A16444" w14:textId="0682AF9D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4926" w:type="dxa"/>
          </w:tcPr>
          <w:p w14:paraId="6CD568AC" w14:textId="78082191" w:rsidR="00A160B2" w:rsidRDefault="008722E0" w:rsidP="00AD7EE2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AD7EE2">
        <w:tc>
          <w:tcPr>
            <w:tcW w:w="3383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6" w:type="dxa"/>
          </w:tcPr>
          <w:p w14:paraId="71119F8F" w14:textId="77777777" w:rsidR="00A160B2" w:rsidRDefault="00A160B2" w:rsidP="00AD7EE2">
            <w:pPr>
              <w:pStyle w:val="Infotext"/>
            </w:pPr>
          </w:p>
          <w:p w14:paraId="4C232B02" w14:textId="32315636" w:rsidR="00BB7B57" w:rsidRPr="003F1D76" w:rsidRDefault="008722E0" w:rsidP="00AD7EE2">
            <w:pPr>
              <w:pStyle w:val="Infotext"/>
              <w:rPr>
                <w:szCs w:val="28"/>
              </w:rPr>
            </w:pPr>
            <w:r w:rsidRPr="008722E0">
              <w:rPr>
                <w:szCs w:val="28"/>
              </w:rPr>
              <w:t xml:space="preserve">Appendix 1 – Role Profile for the </w:t>
            </w:r>
            <w:r w:rsidR="00E34C52">
              <w:rPr>
                <w:szCs w:val="28"/>
              </w:rPr>
              <w:t xml:space="preserve">Director of Finance &amp; Assurance (S151 Officer) </w:t>
            </w:r>
          </w:p>
        </w:tc>
      </w:tr>
    </w:tbl>
    <w:p w14:paraId="346FFFA7" w14:textId="2E921DD5" w:rsidR="00A160B2" w:rsidRDefault="00A160B2" w:rsidP="00A160B2">
      <w:pPr>
        <w:spacing w:after="480"/>
        <w:rPr>
          <w:rFonts w:cs="Arial"/>
        </w:rPr>
      </w:pPr>
    </w:p>
    <w:p w14:paraId="368F46E0" w14:textId="3106CED3" w:rsidR="005E6EDC" w:rsidRDefault="005E6EDC" w:rsidP="00A160B2">
      <w:pPr>
        <w:spacing w:after="480"/>
        <w:rPr>
          <w:rFonts w:cs="Arial"/>
        </w:rPr>
      </w:pPr>
    </w:p>
    <w:p w14:paraId="1CFC6E96" w14:textId="77777777" w:rsidR="003F1D76" w:rsidRDefault="003F1D76" w:rsidP="00A160B2">
      <w:pPr>
        <w:spacing w:after="480"/>
        <w:rPr>
          <w:rFonts w:cs="Arial"/>
        </w:rPr>
      </w:pPr>
    </w:p>
    <w:p w14:paraId="5DA732C3" w14:textId="77777777" w:rsidR="003F1D76" w:rsidRDefault="003F1D76" w:rsidP="00A160B2">
      <w:pPr>
        <w:spacing w:after="480"/>
        <w:rPr>
          <w:rFonts w:cs="Arial"/>
        </w:rPr>
      </w:pPr>
    </w:p>
    <w:p w14:paraId="6D394041" w14:textId="77777777" w:rsidR="005E6EDC" w:rsidRDefault="005E6EDC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71A0D5AC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14:paraId="281F4D12" w14:textId="77777777" w:rsidTr="00871257">
        <w:trPr>
          <w:trHeight w:val="2880"/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2C9E4A81" w14:textId="02ED2F03" w:rsidR="00A160B2" w:rsidRDefault="00057A72" w:rsidP="00E93796">
            <w:pPr>
              <w:jc w:val="both"/>
            </w:pPr>
            <w:r w:rsidRPr="00057A72">
              <w:t xml:space="preserve">This report outlines the recruitment process for the Director of </w:t>
            </w:r>
            <w:r w:rsidR="00E34C52">
              <w:t>Finance and Assurance (S151 Officer)</w:t>
            </w:r>
            <w:r w:rsidRPr="00057A72">
              <w:t xml:space="preserve">. The </w:t>
            </w:r>
            <w:r w:rsidR="00D10A75">
              <w:t>P</w:t>
            </w:r>
            <w:r w:rsidR="00D10A75" w:rsidRPr="00057A72">
              <w:t xml:space="preserve">anel </w:t>
            </w:r>
            <w:r w:rsidRPr="00057A72">
              <w:t>is requested to approve the recruitment process and remuneration package for advertising.</w:t>
            </w:r>
          </w:p>
          <w:p w14:paraId="317581DB" w14:textId="77777777" w:rsidR="00F26812" w:rsidRDefault="00F2681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37AB0C5A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C6EC06D" w14:textId="77777777" w:rsidR="008722E0" w:rsidRPr="00A160B2" w:rsidRDefault="008722E0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51DE580A" w14:textId="32C46F9A" w:rsidR="008722E0" w:rsidRPr="00871257" w:rsidRDefault="00A160B2" w:rsidP="008722E0">
            <w:pPr>
              <w:rPr>
                <w:szCs w:val="24"/>
              </w:rPr>
            </w:pPr>
            <w:r w:rsidRPr="00871257">
              <w:rPr>
                <w:szCs w:val="24"/>
              </w:rPr>
              <w:t xml:space="preserve">The Panel is requested </w:t>
            </w:r>
            <w:r w:rsidR="00F71B4B" w:rsidRPr="00871257">
              <w:rPr>
                <w:szCs w:val="24"/>
              </w:rPr>
              <w:t>to:</w:t>
            </w:r>
          </w:p>
          <w:p w14:paraId="3A6E66CE" w14:textId="77777777" w:rsidR="008722E0" w:rsidRPr="00871257" w:rsidRDefault="008722E0" w:rsidP="008722E0">
            <w:pPr>
              <w:rPr>
                <w:szCs w:val="24"/>
              </w:rPr>
            </w:pPr>
          </w:p>
          <w:p w14:paraId="714CBDEE" w14:textId="1ADB769B" w:rsidR="009378BC" w:rsidRPr="00686936" w:rsidRDefault="000E0D95" w:rsidP="00686936">
            <w:pPr>
              <w:pStyle w:val="ListParagraph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Approve </w:t>
            </w:r>
            <w:r w:rsidR="00C536D9" w:rsidRPr="00871257">
              <w:rPr>
                <w:sz w:val="24"/>
                <w:szCs w:val="24"/>
              </w:rPr>
              <w:t xml:space="preserve">the </w:t>
            </w:r>
            <w:r w:rsidR="00066820">
              <w:rPr>
                <w:sz w:val="24"/>
                <w:szCs w:val="24"/>
              </w:rPr>
              <w:t xml:space="preserve">appointment </w:t>
            </w:r>
            <w:r w:rsidR="00A538D2" w:rsidRPr="00871257">
              <w:rPr>
                <w:sz w:val="24"/>
                <w:szCs w:val="24"/>
              </w:rPr>
              <w:t>process for the Dire</w:t>
            </w:r>
            <w:r w:rsidR="009378BC" w:rsidRPr="00871257">
              <w:rPr>
                <w:sz w:val="24"/>
                <w:szCs w:val="24"/>
              </w:rPr>
              <w:t xml:space="preserve">ctor of </w:t>
            </w:r>
            <w:r w:rsidR="00481AB1">
              <w:rPr>
                <w:sz w:val="24"/>
                <w:szCs w:val="24"/>
              </w:rPr>
              <w:t xml:space="preserve">Finance and Assurance (S151 Officer) </w:t>
            </w:r>
            <w:r w:rsidR="009378BC" w:rsidRPr="00871257">
              <w:rPr>
                <w:sz w:val="24"/>
                <w:szCs w:val="24"/>
              </w:rPr>
              <w:t>post</w:t>
            </w:r>
            <w:r w:rsidR="00CF261E">
              <w:rPr>
                <w:sz w:val="24"/>
                <w:szCs w:val="24"/>
              </w:rPr>
              <w:t xml:space="preserve"> and the remuneration package of </w:t>
            </w:r>
            <w:r w:rsidR="00CF261E">
              <w:t>£132,168 - £145,575 (D3)</w:t>
            </w:r>
            <w:r w:rsidR="009378BC" w:rsidRPr="00871257">
              <w:rPr>
                <w:sz w:val="24"/>
                <w:szCs w:val="24"/>
              </w:rPr>
              <w:t>.</w:t>
            </w:r>
            <w:r w:rsidR="009378BC">
              <w:rPr>
                <w:szCs w:val="24"/>
              </w:rPr>
              <w:t xml:space="preserve"> 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786FDFF7" w14:textId="77777777" w:rsidR="008722E0" w:rsidRDefault="008722E0" w:rsidP="008722E0">
      <w:pPr>
        <w:rPr>
          <w:b/>
          <w:bCs/>
          <w:szCs w:val="24"/>
        </w:rPr>
      </w:pPr>
    </w:p>
    <w:p w14:paraId="5ACED75D" w14:textId="6A6A5E6C" w:rsidR="008722E0" w:rsidRDefault="0064515F" w:rsidP="008722E0">
      <w:pPr>
        <w:rPr>
          <w:b/>
          <w:bCs/>
          <w:szCs w:val="28"/>
        </w:rPr>
      </w:pPr>
      <w:r>
        <w:rPr>
          <w:b/>
          <w:bCs/>
          <w:szCs w:val="28"/>
        </w:rPr>
        <w:t xml:space="preserve">Director of Finance and Assurance (S151 Officer) </w:t>
      </w:r>
    </w:p>
    <w:p w14:paraId="600D2834" w14:textId="77777777" w:rsidR="00C93FDB" w:rsidRDefault="00C93FDB" w:rsidP="00C93FDB">
      <w:pPr>
        <w:jc w:val="both"/>
        <w:rPr>
          <w:rFonts w:ascii="Segoe UI" w:hAnsi="Segoe UI" w:cs="Segoe UI"/>
          <w:sz w:val="21"/>
          <w:szCs w:val="21"/>
        </w:rPr>
      </w:pPr>
    </w:p>
    <w:p w14:paraId="49A169DE" w14:textId="47300E98" w:rsidR="00424D54" w:rsidRDefault="00AC5F77" w:rsidP="00C93FDB">
      <w:pPr>
        <w:jc w:val="both"/>
      </w:pPr>
      <w:r w:rsidRPr="00C93FDB">
        <w:t>The Director of Finance and Assurance (Section 151 Officer) post is a statutory role for the Council and holds significant responsibilities in how the Council manages and delivers services t</w:t>
      </w:r>
      <w:r>
        <w:t>o</w:t>
      </w:r>
      <w:r w:rsidRPr="00C93FDB">
        <w:t> residents. The previous permanent post holder resigned and left the Council in August 2023</w:t>
      </w:r>
      <w:r w:rsidR="00C93FDB" w:rsidRPr="00C93FDB">
        <w:t>.</w:t>
      </w:r>
      <w:r w:rsidR="00336DC7">
        <w:t xml:space="preserve"> </w:t>
      </w:r>
      <w:r w:rsidR="00C93FDB" w:rsidRPr="00C93FDB">
        <w:t xml:space="preserve">An interim arrangement was put in place to ensure the Council could fulfil its statutory responsibilities, allowing the </w:t>
      </w:r>
      <w:r w:rsidR="005E7EE7">
        <w:t xml:space="preserve">Head of </w:t>
      </w:r>
      <w:r w:rsidR="00A0122F">
        <w:t>Strategic and Technical</w:t>
      </w:r>
      <w:r w:rsidR="005E7EE7">
        <w:t xml:space="preserve"> Finance to act </w:t>
      </w:r>
      <w:r w:rsidR="00A0122F">
        <w:t xml:space="preserve">up into the </w:t>
      </w:r>
      <w:r w:rsidR="005E7EE7">
        <w:t xml:space="preserve">Director of Finance and Assurance post </w:t>
      </w:r>
      <w:r w:rsidR="00D10A75">
        <w:t xml:space="preserve">and be designated </w:t>
      </w:r>
      <w:r w:rsidR="005E7EE7">
        <w:t>Section 151</w:t>
      </w:r>
      <w:r w:rsidR="00D10A75">
        <w:t xml:space="preserve"> Officer </w:t>
      </w:r>
      <w:r w:rsidR="00C93FDB" w:rsidRPr="00C93FDB">
        <w:t xml:space="preserve">until the </w:t>
      </w:r>
      <w:r w:rsidR="00D84BEA">
        <w:t xml:space="preserve">permanent </w:t>
      </w:r>
      <w:r w:rsidR="00C93FDB" w:rsidRPr="00C93FDB">
        <w:t xml:space="preserve">recruitment process </w:t>
      </w:r>
      <w:r w:rsidR="00415E04">
        <w:t>is</w:t>
      </w:r>
      <w:r w:rsidR="00C93FDB" w:rsidRPr="00C93FDB">
        <w:t xml:space="preserve"> completed.</w:t>
      </w:r>
    </w:p>
    <w:p w14:paraId="61785EB4" w14:textId="77777777" w:rsidR="00427A85" w:rsidRPr="00C93FDB" w:rsidRDefault="00427A85" w:rsidP="00C93FDB">
      <w:pPr>
        <w:jc w:val="both"/>
      </w:pPr>
    </w:p>
    <w:p w14:paraId="2B4A3022" w14:textId="5B98CF8B" w:rsidR="00C93FDB" w:rsidRPr="00C93FDB" w:rsidRDefault="004D5CC9" w:rsidP="00C93FDB">
      <w:pPr>
        <w:jc w:val="both"/>
      </w:pPr>
      <w:r>
        <w:t>The proposal is to advertise</w:t>
      </w:r>
      <w:r w:rsidR="00EE7518">
        <w:t xml:space="preserve"> the post</w:t>
      </w:r>
      <w:r>
        <w:t xml:space="preserve"> </w:t>
      </w:r>
      <w:r w:rsidR="004E46B1">
        <w:t>on</w:t>
      </w:r>
      <w:r>
        <w:t xml:space="preserve"> </w:t>
      </w:r>
      <w:r w:rsidR="00A12447">
        <w:t xml:space="preserve">the London Borough of Harrow </w:t>
      </w:r>
      <w:r w:rsidR="004E46B1">
        <w:t>jobs</w:t>
      </w:r>
      <w:r w:rsidR="00A12447">
        <w:t xml:space="preserve"> page and associated job boards</w:t>
      </w:r>
      <w:r w:rsidR="00B92E2D">
        <w:t xml:space="preserve"> for three weeks</w:t>
      </w:r>
      <w:r w:rsidR="00A12447">
        <w:t xml:space="preserve"> </w:t>
      </w:r>
      <w:r w:rsidR="00965DDA">
        <w:t xml:space="preserve">in line with the </w:t>
      </w:r>
      <w:r w:rsidR="001E36C0">
        <w:t xml:space="preserve">Council’s </w:t>
      </w:r>
      <w:r w:rsidR="00965DDA">
        <w:t>recruitment practices</w:t>
      </w:r>
      <w:r w:rsidR="008B6A42">
        <w:t>.</w:t>
      </w:r>
      <w:r w:rsidR="00190A2A">
        <w:t xml:space="preserve"> Suitable candidates will be shortlisted by </w:t>
      </w:r>
      <w:r w:rsidR="005929E9">
        <w:t xml:space="preserve">a panel </w:t>
      </w:r>
      <w:r w:rsidR="002D3619">
        <w:t xml:space="preserve">chaired by </w:t>
      </w:r>
      <w:r w:rsidR="005A66B2">
        <w:t xml:space="preserve">the Managing Director (Head of Paid Service) and an external Technical Specialist who is a current Director of </w:t>
      </w:r>
      <w:r w:rsidR="00DB455C">
        <w:t>Finance and Assurance</w:t>
      </w:r>
      <w:r w:rsidR="005A66B2">
        <w:t xml:space="preserve"> post holder within London. </w:t>
      </w:r>
      <w:r w:rsidR="00191F26">
        <w:t xml:space="preserve">The </w:t>
      </w:r>
      <w:r w:rsidR="009C2216">
        <w:t xml:space="preserve">interview </w:t>
      </w:r>
      <w:r w:rsidR="006D52A7">
        <w:t xml:space="preserve">and decision to appoint </w:t>
      </w:r>
      <w:r w:rsidR="009C2216">
        <w:t xml:space="preserve">will then be carried out by the </w:t>
      </w:r>
      <w:r w:rsidR="00D10A75">
        <w:t>Panel</w:t>
      </w:r>
      <w:r w:rsidR="009C2216">
        <w:t xml:space="preserve">. </w:t>
      </w:r>
    </w:p>
    <w:p w14:paraId="3469E0D9" w14:textId="76E21BB3" w:rsidR="00213BE7" w:rsidRDefault="00213BE7" w:rsidP="00213BE7">
      <w:pPr>
        <w:pStyle w:val="Heading2"/>
      </w:pPr>
      <w:r>
        <w:t>Legal Implications</w:t>
      </w:r>
    </w:p>
    <w:p w14:paraId="5B4D9138" w14:textId="77777777" w:rsidR="004349CD" w:rsidRPr="004349CD" w:rsidRDefault="004349CD" w:rsidP="003478BF"/>
    <w:p w14:paraId="0BC28D81" w14:textId="4D57C00F" w:rsidR="003D2FFE" w:rsidRPr="00BA7171" w:rsidRDefault="00BA7171" w:rsidP="000A6659">
      <w:pPr>
        <w:pStyle w:val="Heading4"/>
        <w:rPr>
          <w:b w:val="0"/>
          <w:sz w:val="24"/>
          <w:szCs w:val="24"/>
        </w:rPr>
      </w:pPr>
      <w:r w:rsidRPr="00BA7171">
        <w:rPr>
          <w:b w:val="0"/>
          <w:sz w:val="24"/>
          <w:szCs w:val="24"/>
        </w:rPr>
        <w:t xml:space="preserve">The Chief Officers’ Employment Panel has delegated powers to: </w:t>
      </w:r>
    </w:p>
    <w:p w14:paraId="3A6FE9B3" w14:textId="5BDEAED7" w:rsidR="00BA7171" w:rsidRPr="00BA7171" w:rsidRDefault="00BA7171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7171">
        <w:rPr>
          <w:sz w:val="24"/>
          <w:szCs w:val="24"/>
        </w:rPr>
        <w:t>Approve remuneration packages of £100,000 or over for any Council post; and</w:t>
      </w:r>
    </w:p>
    <w:p w14:paraId="08E6455D" w14:textId="607F1085" w:rsidR="00BA7171" w:rsidRDefault="00BA7171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7171">
        <w:rPr>
          <w:sz w:val="24"/>
          <w:szCs w:val="24"/>
        </w:rPr>
        <w:t>To appoint Chief Officers</w:t>
      </w:r>
      <w:r w:rsidR="0053008A">
        <w:rPr>
          <w:sz w:val="24"/>
          <w:szCs w:val="24"/>
        </w:rPr>
        <w:t>.</w:t>
      </w:r>
      <w:r w:rsidRPr="00BA7171">
        <w:rPr>
          <w:sz w:val="24"/>
          <w:szCs w:val="24"/>
        </w:rPr>
        <w:t xml:space="preserve"> </w:t>
      </w:r>
    </w:p>
    <w:p w14:paraId="092D0F26" w14:textId="77777777" w:rsidR="00A56875" w:rsidRDefault="00A56875" w:rsidP="00E05F80">
      <w:pPr>
        <w:jc w:val="both"/>
      </w:pPr>
    </w:p>
    <w:p w14:paraId="3610CB85" w14:textId="77777777" w:rsidR="0006128A" w:rsidRDefault="0006128A" w:rsidP="0006128A">
      <w:pPr>
        <w:jc w:val="both"/>
      </w:pPr>
      <w:r>
        <w:t xml:space="preserve">The Director of Finance and Assurance (S151 Officer) is a statutory role and full Council will be required to designate to this post before it is offered to the successful candidate following the recommendation from the Panel. </w:t>
      </w:r>
    </w:p>
    <w:p w14:paraId="65C8B8FA" w14:textId="77777777" w:rsidR="005066F3" w:rsidRDefault="005066F3" w:rsidP="00E05F80">
      <w:pPr>
        <w:jc w:val="both"/>
      </w:pPr>
    </w:p>
    <w:p w14:paraId="088028E1" w14:textId="0AD88F7A" w:rsidR="00321E50" w:rsidRPr="00237AFD" w:rsidRDefault="00321E50" w:rsidP="00321E50">
      <w:pPr>
        <w:jc w:val="both"/>
      </w:pPr>
      <w:r>
        <w:lastRenderedPageBreak/>
        <w:t xml:space="preserve">As the Director of Finance and Assurance will be the S151 </w:t>
      </w:r>
      <w:r w:rsidR="00B61429">
        <w:t>O</w:t>
      </w:r>
      <w:r>
        <w:t>fficer</w:t>
      </w:r>
      <w:r w:rsidR="00B61429">
        <w:t>,</w:t>
      </w:r>
      <w:r>
        <w:t xml:space="preserve"> an offer of employment can only be made once members of the Executive have been given 5 clear working days to express any material and well-founded objection.</w:t>
      </w:r>
    </w:p>
    <w:p w14:paraId="08A7F4D1" w14:textId="4C4CEE45" w:rsidR="004349CD" w:rsidRDefault="004349CD" w:rsidP="00E05F80">
      <w:pPr>
        <w:pStyle w:val="ListParagraph"/>
        <w:jc w:val="both"/>
        <w:rPr>
          <w:sz w:val="24"/>
          <w:szCs w:val="24"/>
        </w:rPr>
      </w:pPr>
    </w:p>
    <w:p w14:paraId="60ED5F25" w14:textId="5265F412" w:rsidR="00B61429" w:rsidRDefault="00B61429" w:rsidP="00B61429">
      <w:pPr>
        <w:jc w:val="both"/>
        <w:rPr>
          <w:szCs w:val="24"/>
        </w:rPr>
      </w:pPr>
      <w:r w:rsidRPr="001E0F6D">
        <w:rPr>
          <w:szCs w:val="24"/>
        </w:rPr>
        <w:t xml:space="preserve">The Panel is </w:t>
      </w:r>
      <w:r>
        <w:rPr>
          <w:szCs w:val="24"/>
        </w:rPr>
        <w:t xml:space="preserve">also </w:t>
      </w:r>
      <w:r w:rsidRPr="001E0F6D">
        <w:rPr>
          <w:szCs w:val="24"/>
        </w:rPr>
        <w:t>required to report to Council</w:t>
      </w:r>
      <w:r w:rsidR="00BA548A">
        <w:rPr>
          <w:szCs w:val="24"/>
        </w:rPr>
        <w:t>,</w:t>
      </w:r>
      <w:r>
        <w:rPr>
          <w:szCs w:val="24"/>
        </w:rPr>
        <w:t xml:space="preserve"> </w:t>
      </w:r>
      <w:r w:rsidRPr="001E0F6D">
        <w:rPr>
          <w:szCs w:val="24"/>
        </w:rPr>
        <w:t>for information purposes</w:t>
      </w:r>
      <w:r w:rsidR="00BA548A">
        <w:rPr>
          <w:szCs w:val="24"/>
        </w:rPr>
        <w:t>,</w:t>
      </w:r>
      <w:r w:rsidRPr="001E0F6D">
        <w:rPr>
          <w:szCs w:val="24"/>
        </w:rPr>
        <w:t xml:space="preserve"> on all such approved remuneration packages</w:t>
      </w:r>
      <w:r>
        <w:rPr>
          <w:szCs w:val="24"/>
        </w:rPr>
        <w:t>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4C42C750" w14:textId="38FC3B69" w:rsidR="00C6609C" w:rsidRDefault="00C6609C" w:rsidP="00C6609C">
      <w:r>
        <w:t xml:space="preserve">The Director of Finance and Assurance (S151 Officer) role is graded at D3, £132,168 - £145,575. The cost of this post, which is budgeted for, and part of the establishment, is </w:t>
      </w:r>
      <w:r w:rsidR="00EC77FF">
        <w:t xml:space="preserve">£180,211 - </w:t>
      </w:r>
      <w:r>
        <w:t>£198,564 (including employers oncosts).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33541738" w14:textId="33BDCCC8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Risks included on corporate or directorate risk register?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  <w:r w:rsidRPr="00570F59">
        <w:rPr>
          <w:rFonts w:cs="Arial"/>
          <w:szCs w:val="24"/>
          <w:lang w:val="en-US" w:eastAsia="en-GB"/>
        </w:rPr>
        <w:t> </w:t>
      </w:r>
    </w:p>
    <w:p w14:paraId="3C0B834E" w14:textId="77777777" w:rsidR="00570F59" w:rsidRPr="00570F59" w:rsidRDefault="00570F59" w:rsidP="00570F59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  </w:t>
      </w:r>
      <w:r w:rsidRPr="00570F59">
        <w:rPr>
          <w:rFonts w:cs="Arial"/>
          <w:szCs w:val="24"/>
          <w:lang w:eastAsia="en-GB"/>
        </w:rPr>
        <w:t> </w:t>
      </w:r>
    </w:p>
    <w:p w14:paraId="20B91783" w14:textId="1252060D" w:rsidR="00570F59" w:rsidRPr="00570F59" w:rsidRDefault="00570F59" w:rsidP="00570F59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Separate risk register in place?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</w:p>
    <w:p w14:paraId="77C7BDB3" w14:textId="77777777" w:rsidR="00570F59" w:rsidRPr="00570F59" w:rsidRDefault="00570F59" w:rsidP="00570F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66589F52" w14:textId="1564F8B8" w:rsidR="00570F59" w:rsidRPr="00570F59" w:rsidRDefault="00570F59" w:rsidP="004C69A8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The relevant risks contained in the register are attached/summarised below. </w:t>
      </w:r>
      <w:r w:rsidRPr="00570F59">
        <w:rPr>
          <w:rFonts w:cs="Arial"/>
          <w:b/>
          <w:bCs/>
          <w:szCs w:val="24"/>
          <w:lang w:val="en-US" w:eastAsia="en-GB"/>
        </w:rPr>
        <w:t>n/a </w:t>
      </w:r>
    </w:p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76DCB596" w14:textId="79BA0296" w:rsidR="00FD31A0" w:rsidRPr="004A2543" w:rsidRDefault="00FD31A0" w:rsidP="00E05F80">
      <w:pPr>
        <w:jc w:val="both"/>
      </w:pPr>
      <w:r w:rsidRPr="004A2543">
        <w:t xml:space="preserve">Was an Equality Impact Assessment carried out?  </w:t>
      </w:r>
      <w:r>
        <w:t xml:space="preserve">No </w:t>
      </w:r>
    </w:p>
    <w:p w14:paraId="47FAB2E9" w14:textId="77777777" w:rsidR="00BA7171" w:rsidRPr="00BA7171" w:rsidRDefault="00BA7171" w:rsidP="00E93796">
      <w:pPr>
        <w:jc w:val="both"/>
        <w:rPr>
          <w:sz w:val="28"/>
          <w:szCs w:val="22"/>
        </w:rPr>
      </w:pPr>
    </w:p>
    <w:p w14:paraId="69680960" w14:textId="69604BE5" w:rsidR="00570F59" w:rsidRDefault="008D61CC" w:rsidP="00E05F8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One of the</w:t>
      </w:r>
      <w:r w:rsidR="00BA7171" w:rsidRPr="007D7504">
        <w:rPr>
          <w:sz w:val="24"/>
          <w:szCs w:val="24"/>
        </w:rPr>
        <w:t xml:space="preserve"> </w:t>
      </w:r>
      <w:r w:rsidRPr="007D7504">
        <w:rPr>
          <w:sz w:val="24"/>
          <w:szCs w:val="24"/>
        </w:rPr>
        <w:t>responsibilities</w:t>
      </w:r>
      <w:r w:rsidR="00BA7171" w:rsidRPr="007D7504">
        <w:rPr>
          <w:sz w:val="24"/>
          <w:szCs w:val="24"/>
        </w:rPr>
        <w:t xml:space="preserve"> of </w:t>
      </w:r>
      <w:r w:rsidR="004C69A8">
        <w:rPr>
          <w:sz w:val="24"/>
          <w:szCs w:val="24"/>
        </w:rPr>
        <w:t>this post</w:t>
      </w:r>
      <w:r w:rsidR="00251B45">
        <w:rPr>
          <w:sz w:val="24"/>
          <w:szCs w:val="24"/>
        </w:rPr>
        <w:t>holder</w:t>
      </w:r>
      <w:r w:rsidR="004C69A8">
        <w:rPr>
          <w:sz w:val="24"/>
          <w:szCs w:val="24"/>
        </w:rPr>
        <w:t xml:space="preserve"> is</w:t>
      </w:r>
      <w:r w:rsidR="00BA7171" w:rsidRPr="004939A4">
        <w:rPr>
          <w:sz w:val="24"/>
          <w:szCs w:val="24"/>
        </w:rPr>
        <w:t xml:space="preserve"> to promote equality, diversity and inclusion and the reduction of inequalities</w:t>
      </w:r>
      <w:r w:rsidR="00CE7E97">
        <w:rPr>
          <w:sz w:val="24"/>
          <w:szCs w:val="24"/>
        </w:rPr>
        <w:t>,</w:t>
      </w:r>
      <w:r w:rsidR="00BA7171" w:rsidRPr="004939A4">
        <w:rPr>
          <w:sz w:val="24"/>
          <w:szCs w:val="24"/>
        </w:rPr>
        <w:t xml:space="preserve"> ensuring that everyone can contribute through everyday actions to deliver the required health and wellbeing outcomes.</w:t>
      </w:r>
    </w:p>
    <w:p w14:paraId="6EB9B126" w14:textId="77777777" w:rsidR="00435070" w:rsidRPr="00435070" w:rsidRDefault="00435070" w:rsidP="00E05F80">
      <w:pPr>
        <w:pStyle w:val="Heading3"/>
        <w:spacing w:before="480" w:after="240"/>
        <w:rPr>
          <w:rFonts w:ascii="Arial Bold" w:hAnsi="Arial Bold"/>
          <w:sz w:val="28"/>
        </w:rPr>
      </w:pPr>
      <w:r w:rsidRPr="00435070">
        <w:rPr>
          <w:rFonts w:ascii="Arial Bold" w:hAnsi="Arial Bold"/>
          <w:sz w:val="28"/>
        </w:rPr>
        <w:t>Council Priorities</w:t>
      </w:r>
    </w:p>
    <w:p w14:paraId="5DD393BE" w14:textId="77777777" w:rsidR="00435070" w:rsidRDefault="00435070" w:rsidP="00435070">
      <w:pPr>
        <w:pStyle w:val="StyleListParagraphBold"/>
        <w:numPr>
          <w:ilvl w:val="0"/>
          <w:numId w:val="18"/>
        </w:numPr>
        <w:rPr>
          <w:lang w:eastAsia="en-US"/>
        </w:rPr>
      </w:pPr>
      <w:r w:rsidRPr="00752110">
        <w:t>A council that puts residents first</w:t>
      </w:r>
    </w:p>
    <w:p w14:paraId="18D7BBD0" w14:textId="77777777" w:rsidR="00435070" w:rsidRPr="00752110" w:rsidRDefault="00435070" w:rsidP="00435070">
      <w:pPr>
        <w:pStyle w:val="StyleListParagraphBold"/>
        <w:rPr>
          <w:lang w:eastAsia="en-US"/>
        </w:rPr>
      </w:pPr>
    </w:p>
    <w:p w14:paraId="274CE199" w14:textId="77777777" w:rsidR="00435070" w:rsidRDefault="00435070" w:rsidP="00435070">
      <w:pPr>
        <w:pStyle w:val="StyleListParagraphBold"/>
        <w:numPr>
          <w:ilvl w:val="0"/>
          <w:numId w:val="18"/>
        </w:numPr>
      </w:pPr>
      <w:r w:rsidRPr="00752110">
        <w:t>A borough that is clean and safe</w:t>
      </w:r>
    </w:p>
    <w:p w14:paraId="4B77658D" w14:textId="77777777" w:rsidR="00435070" w:rsidRPr="00752110" w:rsidRDefault="00435070" w:rsidP="00435070">
      <w:pPr>
        <w:pStyle w:val="StyleListParagraphBold"/>
        <w:ind w:left="0"/>
      </w:pPr>
    </w:p>
    <w:p w14:paraId="3E7FAA30" w14:textId="6F4CEAD7" w:rsidR="00435070" w:rsidRDefault="00435070" w:rsidP="00435070">
      <w:pPr>
        <w:pStyle w:val="StyleListParagraphBold"/>
        <w:numPr>
          <w:ilvl w:val="0"/>
          <w:numId w:val="18"/>
        </w:numPr>
      </w:pPr>
      <w:r w:rsidRPr="00752110">
        <w:t>A place where those in need are supported</w:t>
      </w:r>
    </w:p>
    <w:p w14:paraId="089BF978" w14:textId="77777777" w:rsidR="00730E5E" w:rsidRDefault="00730E5E" w:rsidP="00730E5E">
      <w:pPr>
        <w:pStyle w:val="ListParagraph"/>
      </w:pPr>
    </w:p>
    <w:p w14:paraId="7A40D433" w14:textId="77777777" w:rsidR="00D90F3D" w:rsidRDefault="00D90F3D" w:rsidP="00730E5E">
      <w:pPr>
        <w:pStyle w:val="ListParagraph"/>
      </w:pPr>
    </w:p>
    <w:p w14:paraId="0853B522" w14:textId="77777777" w:rsidR="00D90F3D" w:rsidRDefault="00D90F3D" w:rsidP="00730E5E">
      <w:pPr>
        <w:pStyle w:val="ListParagraph"/>
      </w:pPr>
    </w:p>
    <w:p w14:paraId="77C5FFAC" w14:textId="77777777" w:rsidR="00D90F3D" w:rsidRDefault="00D90F3D" w:rsidP="00730E5E">
      <w:pPr>
        <w:pStyle w:val="ListParagraph"/>
      </w:pPr>
    </w:p>
    <w:p w14:paraId="337BA98C" w14:textId="77777777" w:rsidR="00D90F3D" w:rsidRDefault="00D90F3D" w:rsidP="00730E5E">
      <w:pPr>
        <w:pStyle w:val="ListParagraph"/>
      </w:pPr>
    </w:p>
    <w:p w14:paraId="5CF04535" w14:textId="77777777" w:rsidR="00730E5E" w:rsidRDefault="00730E5E" w:rsidP="00730E5E">
      <w:pPr>
        <w:pStyle w:val="StyleListParagraphBold"/>
      </w:pPr>
    </w:p>
    <w:p w14:paraId="11BF41CC" w14:textId="23E716D4" w:rsidR="002A2389" w:rsidRDefault="002A2389" w:rsidP="00912904">
      <w:pPr>
        <w:pStyle w:val="Heading2"/>
      </w:pPr>
      <w:r>
        <w:lastRenderedPageBreak/>
        <w:t xml:space="preserve">Section 3 </w:t>
      </w:r>
      <w:r w:rsidR="00871257">
        <w:t>–</w:t>
      </w:r>
      <w:r>
        <w:t xml:space="preserve">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6F20B1B3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</w:t>
      </w:r>
      <w:r w:rsidR="00EE27A5">
        <w:rPr>
          <w:b/>
          <w:sz w:val="28"/>
        </w:rPr>
        <w:t xml:space="preserve"> </w:t>
      </w:r>
      <w:r w:rsidR="006172E4">
        <w:rPr>
          <w:b/>
          <w:sz w:val="28"/>
        </w:rPr>
        <w:t xml:space="preserve">Jessie Man </w:t>
      </w:r>
    </w:p>
    <w:p w14:paraId="57640BD9" w14:textId="63318142" w:rsidR="00912904" w:rsidRPr="00A66326" w:rsidRDefault="00912904" w:rsidP="00912904">
      <w:r w:rsidRPr="00A66326">
        <w:t xml:space="preserve">Signed </w:t>
      </w:r>
      <w:r w:rsidR="002503C5">
        <w:t xml:space="preserve">on behalf </w:t>
      </w:r>
      <w:r w:rsidR="006172E4">
        <w:t>of</w:t>
      </w:r>
      <w:r w:rsidR="002503C5">
        <w:t xml:space="preserve"> the </w:t>
      </w:r>
      <w:r w:rsidRPr="00A66326">
        <w:t>Chief Financial Officer</w:t>
      </w:r>
    </w:p>
    <w:p w14:paraId="5745A2E3" w14:textId="55638A09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6172E4">
        <w:rPr>
          <w:b/>
          <w:sz w:val="28"/>
        </w:rPr>
        <w:t>05/03/2024</w:t>
      </w:r>
    </w:p>
    <w:p w14:paraId="2586CC50" w14:textId="70556664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6172E4">
        <w:rPr>
          <w:b/>
          <w:sz w:val="28"/>
        </w:rPr>
        <w:t xml:space="preserve">Caroline Eccles </w:t>
      </w:r>
    </w:p>
    <w:p w14:paraId="3F58D77A" w14:textId="62E0CA66" w:rsidR="00912904" w:rsidRPr="00A66326" w:rsidRDefault="00586AA0" w:rsidP="00912904">
      <w:r w:rsidRPr="00A66326">
        <w:t xml:space="preserve">Signed </w:t>
      </w:r>
      <w:r w:rsidR="002503C5">
        <w:t>on</w:t>
      </w:r>
      <w:r w:rsidR="000759E2">
        <w:t xml:space="preserve"> behalf of </w:t>
      </w:r>
      <w:r w:rsidR="00912904" w:rsidRPr="00A66326">
        <w:t>the Monitoring Officer</w:t>
      </w:r>
    </w:p>
    <w:p w14:paraId="61F8C7E6" w14:textId="1BDACE28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</w:t>
      </w:r>
      <w:r w:rsidR="006172E4">
        <w:rPr>
          <w:b/>
          <w:sz w:val="28"/>
        </w:rPr>
        <w:t>06/03/2204</w:t>
      </w:r>
    </w:p>
    <w:p w14:paraId="2019A53D" w14:textId="04A1C61E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800F51">
        <w:rPr>
          <w:b/>
          <w:sz w:val="28"/>
        </w:rPr>
        <w:t xml:space="preserve">Alex Dewsnap </w:t>
      </w:r>
    </w:p>
    <w:p w14:paraId="12E4D11B" w14:textId="72A1D277" w:rsidR="00912904" w:rsidRPr="00A66326" w:rsidRDefault="00365D29" w:rsidP="00912904">
      <w:r>
        <w:t>Signed</w:t>
      </w:r>
      <w:r w:rsidR="00912904">
        <w:t xml:space="preserve"> by the</w:t>
      </w:r>
      <w:r w:rsidR="00DD443E">
        <w:t xml:space="preserve"> Managing Director (Head of Paid Service)</w:t>
      </w:r>
    </w:p>
    <w:p w14:paraId="3BBAA792" w14:textId="6A9AA113" w:rsidR="00936B4C" w:rsidRPr="003D728B" w:rsidRDefault="00912904" w:rsidP="003D728B">
      <w:pPr>
        <w:spacing w:after="480"/>
        <w:rPr>
          <w:b/>
          <w:sz w:val="28"/>
        </w:rPr>
      </w:pPr>
      <w:r w:rsidRPr="00A66326">
        <w:rPr>
          <w:b/>
          <w:sz w:val="28"/>
        </w:rPr>
        <w:t xml:space="preserve">Date:  </w:t>
      </w:r>
      <w:r w:rsidR="00800F51">
        <w:rPr>
          <w:b/>
          <w:sz w:val="28"/>
        </w:rPr>
        <w:t>07/03/2024</w:t>
      </w:r>
    </w:p>
    <w:p w14:paraId="686CE5D8" w14:textId="5DA6710D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0C71A6FD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13B85FC8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E91FC2">
        <w:rPr>
          <w:rFonts w:cs="Arial"/>
          <w:sz w:val="24"/>
        </w:rPr>
        <w:t>Akhil Wilson</w:t>
      </w:r>
      <w:r>
        <w:rPr>
          <w:rFonts w:cs="Arial"/>
          <w:sz w:val="24"/>
        </w:rPr>
        <w:t xml:space="preserve">, </w:t>
      </w:r>
      <w:r w:rsidR="00E91FC2">
        <w:rPr>
          <w:rFonts w:cs="Arial"/>
          <w:sz w:val="24"/>
        </w:rPr>
        <w:t>Head of Resourcing</w:t>
      </w:r>
      <w:r>
        <w:rPr>
          <w:rFonts w:cs="Arial"/>
          <w:sz w:val="24"/>
        </w:rPr>
        <w:t xml:space="preserve">, </w:t>
      </w:r>
      <w:r w:rsidR="00566EC3">
        <w:rPr>
          <w:rFonts w:cs="Arial"/>
          <w:sz w:val="24"/>
        </w:rPr>
        <w:t>Akhil.wilson@harrow.gov.uk</w:t>
      </w:r>
    </w:p>
    <w:p w14:paraId="66B97570" w14:textId="27DBE0A4" w:rsidR="00BA7171" w:rsidRPr="004939A4" w:rsidRDefault="002A2389" w:rsidP="00912904">
      <w:pPr>
        <w:pStyle w:val="Infotext"/>
        <w:spacing w:before="360"/>
        <w:rPr>
          <w:rFonts w:cs="Arial"/>
          <w:sz w:val="24"/>
        </w:rPr>
      </w:pPr>
      <w:r w:rsidRPr="00D914D2">
        <w:rPr>
          <w:b/>
        </w:rPr>
        <w:t>Background Papers</w:t>
      </w:r>
      <w:r>
        <w:t xml:space="preserve">:  </w:t>
      </w:r>
      <w:r w:rsidR="007D7504">
        <w:rPr>
          <w:rFonts w:cs="Arial"/>
          <w:sz w:val="24"/>
        </w:rPr>
        <w:t>None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507DF23B" w14:textId="3C6CC06E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0AC2AC5C" w14:textId="1B156CE3" w:rsidR="00912904" w:rsidRDefault="00912904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NO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5C3E" w14:textId="77777777" w:rsidR="00185792" w:rsidRDefault="00185792">
      <w:r>
        <w:separator/>
      </w:r>
    </w:p>
  </w:endnote>
  <w:endnote w:type="continuationSeparator" w:id="0">
    <w:p w14:paraId="7E46E6DD" w14:textId="77777777" w:rsidR="00185792" w:rsidRDefault="00185792">
      <w:r>
        <w:continuationSeparator/>
      </w:r>
    </w:p>
  </w:endnote>
  <w:endnote w:type="continuationNotice" w:id="1">
    <w:p w14:paraId="6CD551AC" w14:textId="77777777" w:rsidR="00185792" w:rsidRDefault="00185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BE38" w14:textId="77777777" w:rsidR="00185792" w:rsidRDefault="00185792">
      <w:r>
        <w:separator/>
      </w:r>
    </w:p>
  </w:footnote>
  <w:footnote w:type="continuationSeparator" w:id="0">
    <w:p w14:paraId="315D1873" w14:textId="77777777" w:rsidR="00185792" w:rsidRDefault="00185792">
      <w:r>
        <w:continuationSeparator/>
      </w:r>
    </w:p>
  </w:footnote>
  <w:footnote w:type="continuationNotice" w:id="1">
    <w:p w14:paraId="50CF1A45" w14:textId="77777777" w:rsidR="00185792" w:rsidRDefault="001857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6A16"/>
    <w:multiLevelType w:val="hybridMultilevel"/>
    <w:tmpl w:val="0270B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0095D50"/>
    <w:multiLevelType w:val="multilevel"/>
    <w:tmpl w:val="24F04E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2221"/>
    <w:multiLevelType w:val="hybridMultilevel"/>
    <w:tmpl w:val="8B246044"/>
    <w:lvl w:ilvl="0" w:tplc="691E1AB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5B2D"/>
    <w:multiLevelType w:val="hybridMultilevel"/>
    <w:tmpl w:val="44FC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D1DDD"/>
    <w:multiLevelType w:val="hybridMultilevel"/>
    <w:tmpl w:val="DC2050E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00C30"/>
    <w:multiLevelType w:val="multilevel"/>
    <w:tmpl w:val="C20C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53412">
    <w:abstractNumId w:val="20"/>
  </w:num>
  <w:num w:numId="2" w16cid:durableId="1599755944">
    <w:abstractNumId w:val="13"/>
  </w:num>
  <w:num w:numId="3" w16cid:durableId="1456824537">
    <w:abstractNumId w:val="19"/>
  </w:num>
  <w:num w:numId="4" w16cid:durableId="1323893841">
    <w:abstractNumId w:val="1"/>
  </w:num>
  <w:num w:numId="5" w16cid:durableId="17089851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002480">
    <w:abstractNumId w:val="7"/>
  </w:num>
  <w:num w:numId="7" w16cid:durableId="1167744154">
    <w:abstractNumId w:val="8"/>
  </w:num>
  <w:num w:numId="8" w16cid:durableId="2114208043">
    <w:abstractNumId w:val="4"/>
  </w:num>
  <w:num w:numId="9" w16cid:durableId="391274765">
    <w:abstractNumId w:val="3"/>
  </w:num>
  <w:num w:numId="10" w16cid:durableId="602686649">
    <w:abstractNumId w:val="18"/>
  </w:num>
  <w:num w:numId="11" w16cid:durableId="588734528">
    <w:abstractNumId w:val="23"/>
  </w:num>
  <w:num w:numId="12" w16cid:durableId="1879002370">
    <w:abstractNumId w:val="15"/>
  </w:num>
  <w:num w:numId="13" w16cid:durableId="260534998">
    <w:abstractNumId w:val="2"/>
  </w:num>
  <w:num w:numId="14" w16cid:durableId="283581281">
    <w:abstractNumId w:val="6"/>
  </w:num>
  <w:num w:numId="15" w16cid:durableId="825558067">
    <w:abstractNumId w:val="12"/>
  </w:num>
  <w:num w:numId="16" w16cid:durableId="597493302">
    <w:abstractNumId w:val="10"/>
  </w:num>
  <w:num w:numId="17" w16cid:durableId="313066667">
    <w:abstractNumId w:val="22"/>
  </w:num>
  <w:num w:numId="18" w16cid:durableId="391075895">
    <w:abstractNumId w:val="11"/>
  </w:num>
  <w:num w:numId="19" w16cid:durableId="415788254">
    <w:abstractNumId w:val="5"/>
  </w:num>
  <w:num w:numId="20" w16cid:durableId="247274151">
    <w:abstractNumId w:val="9"/>
  </w:num>
  <w:num w:numId="21" w16cid:durableId="122508279">
    <w:abstractNumId w:val="17"/>
  </w:num>
  <w:num w:numId="22" w16cid:durableId="219676774">
    <w:abstractNumId w:val="0"/>
  </w:num>
  <w:num w:numId="23" w16cid:durableId="2142918797">
    <w:abstractNumId w:val="16"/>
  </w:num>
  <w:num w:numId="24" w16cid:durableId="1009333920">
    <w:abstractNumId w:val="21"/>
  </w:num>
  <w:num w:numId="25" w16cid:durableId="13378813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08F0"/>
    <w:rsid w:val="000068C7"/>
    <w:rsid w:val="00011FB2"/>
    <w:rsid w:val="00023F4C"/>
    <w:rsid w:val="00057A72"/>
    <w:rsid w:val="00057F10"/>
    <w:rsid w:val="0006128A"/>
    <w:rsid w:val="000633A2"/>
    <w:rsid w:val="00066820"/>
    <w:rsid w:val="00071EB4"/>
    <w:rsid w:val="000759E2"/>
    <w:rsid w:val="00077298"/>
    <w:rsid w:val="000A58A1"/>
    <w:rsid w:val="000A6659"/>
    <w:rsid w:val="000B0E6F"/>
    <w:rsid w:val="000B6DBB"/>
    <w:rsid w:val="000C062E"/>
    <w:rsid w:val="000D2BF2"/>
    <w:rsid w:val="000D5870"/>
    <w:rsid w:val="000E0D95"/>
    <w:rsid w:val="000E3A26"/>
    <w:rsid w:val="000F65C0"/>
    <w:rsid w:val="000F6789"/>
    <w:rsid w:val="00156531"/>
    <w:rsid w:val="00160A47"/>
    <w:rsid w:val="00161D39"/>
    <w:rsid w:val="00185792"/>
    <w:rsid w:val="00186D0B"/>
    <w:rsid w:val="00190A2A"/>
    <w:rsid w:val="00191F26"/>
    <w:rsid w:val="001939BA"/>
    <w:rsid w:val="001A6EB0"/>
    <w:rsid w:val="001B441D"/>
    <w:rsid w:val="001C1CAF"/>
    <w:rsid w:val="001C5225"/>
    <w:rsid w:val="001D6B64"/>
    <w:rsid w:val="001E0219"/>
    <w:rsid w:val="001E36C0"/>
    <w:rsid w:val="001E6547"/>
    <w:rsid w:val="00213BE7"/>
    <w:rsid w:val="00231A1D"/>
    <w:rsid w:val="00240D86"/>
    <w:rsid w:val="0024122E"/>
    <w:rsid w:val="00244120"/>
    <w:rsid w:val="002503C5"/>
    <w:rsid w:val="00251B45"/>
    <w:rsid w:val="00287127"/>
    <w:rsid w:val="00293F9F"/>
    <w:rsid w:val="002A2389"/>
    <w:rsid w:val="002C08E2"/>
    <w:rsid w:val="002C1794"/>
    <w:rsid w:val="002C722E"/>
    <w:rsid w:val="002D223D"/>
    <w:rsid w:val="002D2FC5"/>
    <w:rsid w:val="002D3619"/>
    <w:rsid w:val="002E6637"/>
    <w:rsid w:val="002E77E3"/>
    <w:rsid w:val="00321E50"/>
    <w:rsid w:val="00332947"/>
    <w:rsid w:val="00333EB4"/>
    <w:rsid w:val="00336DC7"/>
    <w:rsid w:val="00345915"/>
    <w:rsid w:val="003478BF"/>
    <w:rsid w:val="00356CE2"/>
    <w:rsid w:val="00365D29"/>
    <w:rsid w:val="0037490C"/>
    <w:rsid w:val="00374F22"/>
    <w:rsid w:val="00383159"/>
    <w:rsid w:val="00392D99"/>
    <w:rsid w:val="00395513"/>
    <w:rsid w:val="003A4845"/>
    <w:rsid w:val="003B0130"/>
    <w:rsid w:val="003D2FFE"/>
    <w:rsid w:val="003D728B"/>
    <w:rsid w:val="003E7136"/>
    <w:rsid w:val="003F1D76"/>
    <w:rsid w:val="00400032"/>
    <w:rsid w:val="00415E04"/>
    <w:rsid w:val="0042394B"/>
    <w:rsid w:val="00424D54"/>
    <w:rsid w:val="0042539E"/>
    <w:rsid w:val="00427A85"/>
    <w:rsid w:val="0043271B"/>
    <w:rsid w:val="004349CD"/>
    <w:rsid w:val="00435070"/>
    <w:rsid w:val="00435D03"/>
    <w:rsid w:val="00441A9C"/>
    <w:rsid w:val="00473B08"/>
    <w:rsid w:val="00474B5F"/>
    <w:rsid w:val="004778DC"/>
    <w:rsid w:val="00481AB1"/>
    <w:rsid w:val="004865F0"/>
    <w:rsid w:val="0049159F"/>
    <w:rsid w:val="004939A4"/>
    <w:rsid w:val="004A2CE5"/>
    <w:rsid w:val="004A3CE2"/>
    <w:rsid w:val="004A3CE6"/>
    <w:rsid w:val="004A4A1D"/>
    <w:rsid w:val="004A5897"/>
    <w:rsid w:val="004A68C4"/>
    <w:rsid w:val="004B2C9D"/>
    <w:rsid w:val="004B4A47"/>
    <w:rsid w:val="004C69A8"/>
    <w:rsid w:val="004D2886"/>
    <w:rsid w:val="004D5CC9"/>
    <w:rsid w:val="004E46B1"/>
    <w:rsid w:val="004E667D"/>
    <w:rsid w:val="004E6AF9"/>
    <w:rsid w:val="004F33AD"/>
    <w:rsid w:val="00502F3E"/>
    <w:rsid w:val="005031DF"/>
    <w:rsid w:val="005066F3"/>
    <w:rsid w:val="00506D04"/>
    <w:rsid w:val="00513E20"/>
    <w:rsid w:val="00517A8C"/>
    <w:rsid w:val="0052393A"/>
    <w:rsid w:val="0053008A"/>
    <w:rsid w:val="0055632B"/>
    <w:rsid w:val="00562873"/>
    <w:rsid w:val="00564762"/>
    <w:rsid w:val="00566DB8"/>
    <w:rsid w:val="00566EC3"/>
    <w:rsid w:val="00570F59"/>
    <w:rsid w:val="00586AA0"/>
    <w:rsid w:val="005929E9"/>
    <w:rsid w:val="00597314"/>
    <w:rsid w:val="005A5DB8"/>
    <w:rsid w:val="005A6062"/>
    <w:rsid w:val="005A61AF"/>
    <w:rsid w:val="005A66B2"/>
    <w:rsid w:val="005C578E"/>
    <w:rsid w:val="005C627B"/>
    <w:rsid w:val="005D0886"/>
    <w:rsid w:val="005E331C"/>
    <w:rsid w:val="005E384D"/>
    <w:rsid w:val="005E3A3D"/>
    <w:rsid w:val="005E6EDC"/>
    <w:rsid w:val="005E7EE7"/>
    <w:rsid w:val="005F2181"/>
    <w:rsid w:val="005F724B"/>
    <w:rsid w:val="006006F6"/>
    <w:rsid w:val="00610363"/>
    <w:rsid w:val="006172E4"/>
    <w:rsid w:val="00621C2D"/>
    <w:rsid w:val="00625DFF"/>
    <w:rsid w:val="0063072B"/>
    <w:rsid w:val="006420CA"/>
    <w:rsid w:val="0064515F"/>
    <w:rsid w:val="00657603"/>
    <w:rsid w:val="00662891"/>
    <w:rsid w:val="006628B7"/>
    <w:rsid w:val="00675FCB"/>
    <w:rsid w:val="006766A4"/>
    <w:rsid w:val="006865F7"/>
    <w:rsid w:val="00686936"/>
    <w:rsid w:val="006A0B87"/>
    <w:rsid w:val="006B3942"/>
    <w:rsid w:val="006C0394"/>
    <w:rsid w:val="006C3914"/>
    <w:rsid w:val="006D22F7"/>
    <w:rsid w:val="006D3648"/>
    <w:rsid w:val="006D52A7"/>
    <w:rsid w:val="00716961"/>
    <w:rsid w:val="007248FD"/>
    <w:rsid w:val="00730E5E"/>
    <w:rsid w:val="0074184E"/>
    <w:rsid w:val="00743829"/>
    <w:rsid w:val="0075200D"/>
    <w:rsid w:val="00755F8D"/>
    <w:rsid w:val="00761093"/>
    <w:rsid w:val="00761B64"/>
    <w:rsid w:val="00793DC5"/>
    <w:rsid w:val="00796503"/>
    <w:rsid w:val="007A0A04"/>
    <w:rsid w:val="007A59CA"/>
    <w:rsid w:val="007A5F10"/>
    <w:rsid w:val="007D2561"/>
    <w:rsid w:val="007D2BDA"/>
    <w:rsid w:val="007D56C8"/>
    <w:rsid w:val="007D7504"/>
    <w:rsid w:val="007E3934"/>
    <w:rsid w:val="007E7303"/>
    <w:rsid w:val="007E7CC8"/>
    <w:rsid w:val="007F12F0"/>
    <w:rsid w:val="007F18AB"/>
    <w:rsid w:val="00800F51"/>
    <w:rsid w:val="00804B7F"/>
    <w:rsid w:val="00811688"/>
    <w:rsid w:val="00811FA5"/>
    <w:rsid w:val="00817CD5"/>
    <w:rsid w:val="008212A0"/>
    <w:rsid w:val="00837F53"/>
    <w:rsid w:val="00854A54"/>
    <w:rsid w:val="00856567"/>
    <w:rsid w:val="00871257"/>
    <w:rsid w:val="008722E0"/>
    <w:rsid w:val="00880157"/>
    <w:rsid w:val="00881C88"/>
    <w:rsid w:val="00883B40"/>
    <w:rsid w:val="008B6A42"/>
    <w:rsid w:val="008D1750"/>
    <w:rsid w:val="008D61CC"/>
    <w:rsid w:val="008D7800"/>
    <w:rsid w:val="008E2910"/>
    <w:rsid w:val="008E4913"/>
    <w:rsid w:val="008F5917"/>
    <w:rsid w:val="00900464"/>
    <w:rsid w:val="0090100E"/>
    <w:rsid w:val="0090266D"/>
    <w:rsid w:val="00902950"/>
    <w:rsid w:val="00912904"/>
    <w:rsid w:val="00934EA2"/>
    <w:rsid w:val="00936B4C"/>
    <w:rsid w:val="0093767E"/>
    <w:rsid w:val="009378BC"/>
    <w:rsid w:val="00957CC7"/>
    <w:rsid w:val="00965DDA"/>
    <w:rsid w:val="00972A02"/>
    <w:rsid w:val="00983597"/>
    <w:rsid w:val="009839CD"/>
    <w:rsid w:val="0099517C"/>
    <w:rsid w:val="009A0937"/>
    <w:rsid w:val="009B2ECD"/>
    <w:rsid w:val="009B7914"/>
    <w:rsid w:val="009C2216"/>
    <w:rsid w:val="009E7503"/>
    <w:rsid w:val="009F430B"/>
    <w:rsid w:val="009F4CD6"/>
    <w:rsid w:val="00A0122F"/>
    <w:rsid w:val="00A12447"/>
    <w:rsid w:val="00A12858"/>
    <w:rsid w:val="00A160B2"/>
    <w:rsid w:val="00A235AA"/>
    <w:rsid w:val="00A36174"/>
    <w:rsid w:val="00A36460"/>
    <w:rsid w:val="00A457C0"/>
    <w:rsid w:val="00A538D2"/>
    <w:rsid w:val="00A566E7"/>
    <w:rsid w:val="00A56875"/>
    <w:rsid w:val="00A644D6"/>
    <w:rsid w:val="00A81B88"/>
    <w:rsid w:val="00A940D3"/>
    <w:rsid w:val="00A96FCA"/>
    <w:rsid w:val="00AA4BE8"/>
    <w:rsid w:val="00AA7805"/>
    <w:rsid w:val="00AB3BCD"/>
    <w:rsid w:val="00AB4D59"/>
    <w:rsid w:val="00AC0AAB"/>
    <w:rsid w:val="00AC5F77"/>
    <w:rsid w:val="00AC7BA9"/>
    <w:rsid w:val="00AC7FFA"/>
    <w:rsid w:val="00AD701B"/>
    <w:rsid w:val="00AD7EE2"/>
    <w:rsid w:val="00AE3639"/>
    <w:rsid w:val="00AF1E80"/>
    <w:rsid w:val="00B0425E"/>
    <w:rsid w:val="00B0747D"/>
    <w:rsid w:val="00B11B64"/>
    <w:rsid w:val="00B61429"/>
    <w:rsid w:val="00B6517F"/>
    <w:rsid w:val="00B67D68"/>
    <w:rsid w:val="00B900E2"/>
    <w:rsid w:val="00B9118E"/>
    <w:rsid w:val="00B92E2D"/>
    <w:rsid w:val="00BA3160"/>
    <w:rsid w:val="00BA35EA"/>
    <w:rsid w:val="00BA548A"/>
    <w:rsid w:val="00BA6CF6"/>
    <w:rsid w:val="00BA7171"/>
    <w:rsid w:val="00BB7B57"/>
    <w:rsid w:val="00BC7B42"/>
    <w:rsid w:val="00BD6115"/>
    <w:rsid w:val="00BD684A"/>
    <w:rsid w:val="00BF129C"/>
    <w:rsid w:val="00C0530A"/>
    <w:rsid w:val="00C0685F"/>
    <w:rsid w:val="00C07F00"/>
    <w:rsid w:val="00C32DAE"/>
    <w:rsid w:val="00C40E24"/>
    <w:rsid w:val="00C536D9"/>
    <w:rsid w:val="00C61B80"/>
    <w:rsid w:val="00C6417B"/>
    <w:rsid w:val="00C6609C"/>
    <w:rsid w:val="00C92D9A"/>
    <w:rsid w:val="00C93761"/>
    <w:rsid w:val="00C93FDB"/>
    <w:rsid w:val="00C96EF5"/>
    <w:rsid w:val="00CA3807"/>
    <w:rsid w:val="00CA68B2"/>
    <w:rsid w:val="00CB0DA7"/>
    <w:rsid w:val="00CE079B"/>
    <w:rsid w:val="00CE7E97"/>
    <w:rsid w:val="00CF261E"/>
    <w:rsid w:val="00CF36D5"/>
    <w:rsid w:val="00D10A75"/>
    <w:rsid w:val="00D124E5"/>
    <w:rsid w:val="00D1341E"/>
    <w:rsid w:val="00D16199"/>
    <w:rsid w:val="00D25064"/>
    <w:rsid w:val="00D32B51"/>
    <w:rsid w:val="00D34668"/>
    <w:rsid w:val="00D3740E"/>
    <w:rsid w:val="00D40335"/>
    <w:rsid w:val="00D734C3"/>
    <w:rsid w:val="00D82F57"/>
    <w:rsid w:val="00D841A5"/>
    <w:rsid w:val="00D84BEA"/>
    <w:rsid w:val="00D90F3D"/>
    <w:rsid w:val="00D914D2"/>
    <w:rsid w:val="00DA25DB"/>
    <w:rsid w:val="00DB0791"/>
    <w:rsid w:val="00DB455C"/>
    <w:rsid w:val="00DB7E54"/>
    <w:rsid w:val="00DC0F50"/>
    <w:rsid w:val="00DD4251"/>
    <w:rsid w:val="00DD443E"/>
    <w:rsid w:val="00DF7691"/>
    <w:rsid w:val="00E02B50"/>
    <w:rsid w:val="00E0305A"/>
    <w:rsid w:val="00E03F11"/>
    <w:rsid w:val="00E05F80"/>
    <w:rsid w:val="00E06DC8"/>
    <w:rsid w:val="00E1175E"/>
    <w:rsid w:val="00E220B5"/>
    <w:rsid w:val="00E23864"/>
    <w:rsid w:val="00E33D93"/>
    <w:rsid w:val="00E34C52"/>
    <w:rsid w:val="00E3663F"/>
    <w:rsid w:val="00E36B80"/>
    <w:rsid w:val="00E609EF"/>
    <w:rsid w:val="00E63D28"/>
    <w:rsid w:val="00E83B86"/>
    <w:rsid w:val="00E8515B"/>
    <w:rsid w:val="00E90AFF"/>
    <w:rsid w:val="00E91FC2"/>
    <w:rsid w:val="00E93796"/>
    <w:rsid w:val="00E94BDA"/>
    <w:rsid w:val="00EA12C1"/>
    <w:rsid w:val="00EB0C95"/>
    <w:rsid w:val="00EC7231"/>
    <w:rsid w:val="00EC77FF"/>
    <w:rsid w:val="00EE1386"/>
    <w:rsid w:val="00EE27A5"/>
    <w:rsid w:val="00EE7518"/>
    <w:rsid w:val="00EF2F91"/>
    <w:rsid w:val="00F05026"/>
    <w:rsid w:val="00F26812"/>
    <w:rsid w:val="00F33EE3"/>
    <w:rsid w:val="00F4213B"/>
    <w:rsid w:val="00F43297"/>
    <w:rsid w:val="00F544B6"/>
    <w:rsid w:val="00F64B70"/>
    <w:rsid w:val="00F71137"/>
    <w:rsid w:val="00F71B4B"/>
    <w:rsid w:val="00F849ED"/>
    <w:rsid w:val="00F92398"/>
    <w:rsid w:val="00F957BC"/>
    <w:rsid w:val="00FB28F8"/>
    <w:rsid w:val="00FD31A0"/>
    <w:rsid w:val="00FE1ADE"/>
    <w:rsid w:val="00FE646B"/>
    <w:rsid w:val="00FF6AAD"/>
    <w:rsid w:val="00FF71E5"/>
    <w:rsid w:val="02F970E4"/>
    <w:rsid w:val="04BF1D72"/>
    <w:rsid w:val="098C2F60"/>
    <w:rsid w:val="0AA181B4"/>
    <w:rsid w:val="0F2FE67E"/>
    <w:rsid w:val="0FCC08E6"/>
    <w:rsid w:val="1163186B"/>
    <w:rsid w:val="12823E83"/>
    <w:rsid w:val="14E6DAE1"/>
    <w:rsid w:val="16C810F0"/>
    <w:rsid w:val="18BDA067"/>
    <w:rsid w:val="1AD9457A"/>
    <w:rsid w:val="1B3C5E2C"/>
    <w:rsid w:val="1FEF13D5"/>
    <w:rsid w:val="20D394CE"/>
    <w:rsid w:val="2CC93586"/>
    <w:rsid w:val="2E92A61A"/>
    <w:rsid w:val="302E767B"/>
    <w:rsid w:val="3210A5D2"/>
    <w:rsid w:val="332FCBEA"/>
    <w:rsid w:val="3366173D"/>
    <w:rsid w:val="33CC81D0"/>
    <w:rsid w:val="369DB7FF"/>
    <w:rsid w:val="36EE2849"/>
    <w:rsid w:val="37A54AC2"/>
    <w:rsid w:val="38398860"/>
    <w:rsid w:val="39C927AF"/>
    <w:rsid w:val="3C2284DC"/>
    <w:rsid w:val="3DBE553D"/>
    <w:rsid w:val="3E7792AA"/>
    <w:rsid w:val="45FC58F1"/>
    <w:rsid w:val="46BBC94F"/>
    <w:rsid w:val="47982952"/>
    <w:rsid w:val="4A913F48"/>
    <w:rsid w:val="4D5795AF"/>
    <w:rsid w:val="4E1378D3"/>
    <w:rsid w:val="512723B4"/>
    <w:rsid w:val="567A8658"/>
    <w:rsid w:val="58566482"/>
    <w:rsid w:val="59C013AA"/>
    <w:rsid w:val="5AE42871"/>
    <w:rsid w:val="5E257C26"/>
    <w:rsid w:val="603EC4EB"/>
    <w:rsid w:val="62DF447B"/>
    <w:rsid w:val="676C52A6"/>
    <w:rsid w:val="68740733"/>
    <w:rsid w:val="6EA8D88D"/>
    <w:rsid w:val="6F1E7B7E"/>
    <w:rsid w:val="71A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StyleListParagraphBold">
    <w:name w:val="Style List Paragraph + Bold"/>
    <w:basedOn w:val="ListParagraph"/>
    <w:rsid w:val="00435070"/>
    <w:rPr>
      <w:b/>
      <w:bCs/>
      <w:sz w:val="24"/>
    </w:rPr>
  </w:style>
  <w:style w:type="character" w:styleId="CommentReference">
    <w:name w:val="annotation reference"/>
    <w:basedOn w:val="DefaultParagraphFont"/>
    <w:semiHidden/>
    <w:unhideWhenUsed/>
    <w:rsid w:val="008722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22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22E0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53008A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504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3FD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CC7192BC5C847BC2D160DB4E990F9" ma:contentTypeVersion="13" ma:contentTypeDescription="Create a new document." ma:contentTypeScope="" ma:versionID="a3249b9cc4dc37b8996bd0e60674026e">
  <xsd:schema xmlns:xsd="http://www.w3.org/2001/XMLSchema" xmlns:xs="http://www.w3.org/2001/XMLSchema" xmlns:p="http://schemas.microsoft.com/office/2006/metadata/properties" xmlns:ns2="9874a7b2-1117-4f40-98d5-dcc5333d85f8" xmlns:ns3="ec3930d4-9f48-4a24-a840-d594b4f210da" targetNamespace="http://schemas.microsoft.com/office/2006/metadata/properties" ma:root="true" ma:fieldsID="94545e4cb272bfcb5dc8f0ca2d1a81e3" ns2:_="" ns3:_="">
    <xsd:import namespace="9874a7b2-1117-4f40-98d5-dcc5333d85f8"/>
    <xsd:import namespace="ec3930d4-9f48-4a24-a840-d594b4f21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a7b2-1117-4f40-98d5-dcc5333d8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30d4-9f48-4a24-a840-d594b4f21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874a7b2-1117-4f40-98d5-dcc5333d85f8" xsi:nil="true"/>
    <SharedWithUsers xmlns="ec3930d4-9f48-4a24-a840-d594b4f210da">
      <UserInfo>
        <DisplayName>Alison Atherton</DisplayName>
        <AccountId>24</AccountId>
        <AccountType/>
      </UserInfo>
    </SharedWithUsers>
    <lcf76f155ced4ddcb4097134ff3c332f xmlns="9874a7b2-1117-4f40-98d5-dcc5333d85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9B68-2A06-4104-BD60-53093AE45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4a7b2-1117-4f40-98d5-dcc5333d85f8"/>
    <ds:schemaRef ds:uri="ec3930d4-9f48-4a24-a840-d594b4f21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70312-261D-4F54-8D12-4DC2AF81B0C2}">
  <ds:schemaRefs>
    <ds:schemaRef ds:uri="http://schemas.microsoft.com/office/2006/metadata/properties"/>
    <ds:schemaRef ds:uri="http://schemas.microsoft.com/office/infopath/2007/PartnerControls"/>
    <ds:schemaRef ds:uri="9874a7b2-1117-4f40-98d5-dcc5333d85f8"/>
    <ds:schemaRef ds:uri="ec3930d4-9f48-4a24-a840-d594b4f210da"/>
  </ds:schemaRefs>
</ds:datastoreItem>
</file>

<file path=customXml/itemProps3.xml><?xml version="1.0" encoding="utf-8"?>
<ds:datastoreItem xmlns:ds="http://schemas.openxmlformats.org/officeDocument/2006/customXml" ds:itemID="{26128AAA-6B7F-491F-9CF8-ECF5E6E60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3C9B3-6C80-49A1-951E-C74A6EF5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2</cp:revision>
  <cp:lastPrinted>2023-03-07T10:45:00Z</cp:lastPrinted>
  <dcterms:created xsi:type="dcterms:W3CDTF">2024-03-07T14:34:00Z</dcterms:created>
  <dcterms:modified xsi:type="dcterms:W3CDTF">2024-03-07T14:34:00Z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0x0101008D0CC7192BC5C847BC2D160DB4E990F9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{"FileActivityType":"6","FileActivityTimeStamp":"2023-06-28T16:09:03.797Z","FileActivityUsersOnPage":[{"DisplayName":"Alison Atherton","Id":"alison.atherton@harrow.gov.uk"}],"FileActivityNavigationId":null}</vt:lpwstr>
  </property>
  <property fmtid="{D5CDD505-2E9C-101B-9397-08002B2CF9AE}" pid="7" name="TriggerFlowInfo">
    <vt:lpwstr/>
  </property>
  <property fmtid="{D5CDD505-2E9C-101B-9397-08002B2CF9AE}" pid="8" name="GrammarlyDocumentId">
    <vt:lpwstr>abcdba8bdebd0da18dd2c5865e016e1e7a787f420bad63df86093cf4092fd95b</vt:lpwstr>
  </property>
</Properties>
</file>